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FORMULARIO DE DEMANDA DE ACCIÓN DE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>I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NCONSTITUCIONALIDAD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ACCIÓN DE INCONSTITUCIONALIDAD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H. PRESIDENTE DE LA SUPREMA CORTE DE JUSTICIA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 LA NACIÓN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PRESENTE.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(Nombre del promovente o de los promoventes)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en el carácter de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(carácter con el que comparece[n] en el proceso)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personalidad que se acredita con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(mención del documento acreditativo de la personalidad jurídica)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mismo que se anexa al presente escrito de demanda; designando como representantes comunes en este proceso constitucional a los señores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(nombres de las personas que representarán a la parte demandante)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quienes en términos del segundo párrafo del artículo 62 de la Ley Reglamentaria de las Fracciones I y II del Artículo 105 de la Constitución Política de los Estados Unidos Mexicanos, actuarán conjunta o separadamente durante todo el procedimiento; señalando como domicilio para oír y recibir notificaciones, incluso las que sean de carácter personal, el ubicado en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(datos del domicilio legal de la parte demandante)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y autorizando para oírlas y recibirlas, así como para que presenten documentación que corresponda a esta parte a los señores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(indicación de las personas autorizadas para los efectos de oír y recibir notificaciones)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, ante usted, con el respeto debido, comparezco para exponer lo que sigue.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Que con fundamento en los artículos 104, fracción IV; y 105, fracción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II, inciso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(indicación del inciso que prevé el supuesto de que se trate)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, de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la Constitución Política de los Estados Unidos Mexicanos; artículos 1o., 2o.,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Fracciones I y II del Artículo 105 de la Constitución Política de los Estados Unidos Mexicanos; y artículos 1o. y 10, fracción I, y demás relativos y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aplicables de la Ley Orgánica del Poder Judicial de la Federación; por este medio, se viene a promover la presente ACCIÓN DE INCONSTITUCIONALIDAD en contra de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(indicación de la ley o el tratado internacional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que se impugna)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en virtud de que resulta violatoria de los artículos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(mención de los preceptos constitucionales que se estiman violados)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de la Constitución Política de los Estados Unidos Mexicanos, como quedará demostrado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en esta instancia constitucional.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En cumplimiento con lo establecido en el artículo 61 de la Ley Reglamentaria de las Fracciones I y II del Artículo 105 de la Constitución Política de los Estados Unidos Mexicanos, se manifiesta lo siguiente.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I. NOMBRE(S) Y FIRMA(S) DEL (LOS) PROMOVENTE(S)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El (los) nombre(s) y la(s) firma(s) del (los) promovente(s) se consigna(n) al calce de la última página del presente escrito de demanda constitucional.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II. ÓRGANOS QUE HAN EMITIDO Y PROMULGADO LA LEY (O EL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TRATADO INTERNACIONAL) QUE SE IMPUGNA ÓRGANO LEGISLATIVO. (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Indicación del órgano legislativo federal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o local del que ha emanado la norma que se reclama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ÓRGANO EJECUTIVO. (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Mención del órgano ejecutivo federal o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indicación del ejecutivo local que hubiere promulgado la norma que se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impugna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III. LEY (O TRATADO INTERNACIONAL) QUE SE RECLAMA Y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MEDIO OFICIAL DE PUBLICACIÓN (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Indicación precisa del ordenamiento legal, el tratado internacional, o los preceptos que de uno u otro se estimen contradictorios de la Constitución federal, así como el periódico o la gaceta oficial en que se hubiere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publicado, incluyendo la fecha en que dicha publicación tuvo lugar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IV. PRECEPTOS CONSTITUCIONALES QUE SE ESTIMAN VIOLADOS (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Indicación precisa de los artículos de la Constitución Política de los Estados Unidos Mexicanos que se consideren vulnerados por la norma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reclamada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).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V. CONCEPTOS DE INVALIDEZ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(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Exposición amplia de los antecedentes, criterios, argumentos y razonamientos lógico-jurídicos con base en los cuales la parte demandante considera sustentada la estimación de inconstitucionalidad de la norma impugnada. Este capítulo puede dividirse en los apartados de “Antecedentes”, y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de los conceptos de invalidez que se consideren necesarios: “Primer concepto de invalidez”, “Segundo concepto de invalidez”, etcétera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Con base en los razonamientos vertidos a lo largo del cuerpo de este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capítulo y dado que en el presente asunto no se actualiza causal alguna de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improcedencia o sobreseimiento de las señaladas en los artículos 20 y 21,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respectivamente, de la Ley Reglamentaria de las Fracciones I y II del Artículo 105 de la Constitución Política de los Estados Unidos Mexicanos, resulta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procedente que la Suprema Corte de Justicia de la Nación inicie el proceso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constitucional correspondiente de acuerdo con los lineamientos establecidos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por la ley reglamentaria citada.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Por lo anteriormente expuesto y fundado, a usted, C. Presidente de la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Suprema Corte de Justicia de la Nación, atenta y respetuosamente, solicito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(solicitamos):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Primero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.—Tener por presentada esta demanda de ACCIÓN DE INCONSTITUCIONALIDAD en el tiempo y la forma exigidos por la Ley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Reglamentaria de las Fracciones I y II del Artículo 105 de la Constitución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Política de los Estados Unidos Mexicanos, en contra de (</w:t>
      </w: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mención de la ley —o tratado internacional— denunciada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Segundo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.—Una vez agotado el procedimiento señalado por la ley, se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declare la inconstitucionalidad y la consiguiente invalidez de la(s) norma(s) jurídica(s) impugnada(s) por resultar contradictoria(s) de los derechos, principios y/o valores consagrados y protegidos por la Constitución General de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MX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la República.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PROTESTO (PROTESTAMOS) LO NECESARIO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(Nombre(s) y firma(s) del promovente o promoventes)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A38CE"/>
    <w:rsid w:val="725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2021-05-09T18:26:00Z</dcterms:created>
  <dc:creator>Cesar Lopez</dc:creator>
  <cp:lastModifiedBy>Cesar Lopez</cp:lastModifiedBy>
  <dcterms:modified xsi:type="dcterms:W3CDTF">2021-05-09T18:38:05Z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2058-11.2.0.10114</vt:lpwstr>
  </property>
</Properties>
</file>